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E151B" w14:textId="77777777" w:rsidR="00946F1A" w:rsidRPr="00EC366E" w:rsidRDefault="00946F1A" w:rsidP="00520915">
      <w:pPr>
        <w:spacing w:after="0"/>
        <w:rPr>
          <w:rFonts w:ascii="Arial" w:hAnsi="Arial" w:cs="Arial"/>
        </w:rPr>
      </w:pPr>
    </w:p>
    <w:tbl>
      <w:tblPr>
        <w:tblStyle w:val="Reetkatablice"/>
        <w:tblW w:w="15594" w:type="dxa"/>
        <w:tblInd w:w="-885" w:type="dxa"/>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ayout w:type="fixed"/>
        <w:tblLook w:val="04A0" w:firstRow="1" w:lastRow="0" w:firstColumn="1" w:lastColumn="0" w:noHBand="0" w:noVBand="1"/>
      </w:tblPr>
      <w:tblGrid>
        <w:gridCol w:w="1288"/>
        <w:gridCol w:w="6095"/>
        <w:gridCol w:w="1276"/>
        <w:gridCol w:w="1417"/>
        <w:gridCol w:w="5518"/>
      </w:tblGrid>
      <w:tr w:rsidR="00946F1A" w:rsidRPr="00EC366E" w14:paraId="29F87F91" w14:textId="77777777" w:rsidTr="007C536F">
        <w:tc>
          <w:tcPr>
            <w:tcW w:w="15594" w:type="dxa"/>
            <w:gridSpan w:val="5"/>
            <w:shd w:val="pct10" w:color="auto" w:fill="auto"/>
          </w:tcPr>
          <w:p w14:paraId="17EC5D4A" w14:textId="77777777" w:rsidR="00946F1A" w:rsidRPr="00EC366E" w:rsidRDefault="00946F1A">
            <w:pPr>
              <w:rPr>
                <w:rFonts w:ascii="Arial" w:hAnsi="Arial" w:cs="Arial"/>
                <w:b/>
                <w:bCs/>
                <w:color w:val="808080" w:themeColor="background1" w:themeShade="80"/>
                <w:sz w:val="20"/>
                <w:szCs w:val="20"/>
              </w:rPr>
            </w:pPr>
          </w:p>
          <w:p w14:paraId="61C3A75D" w14:textId="0E665C58" w:rsidR="00CC0C57" w:rsidRPr="00EC366E" w:rsidRDefault="00946F1A" w:rsidP="00320982">
            <w:pPr>
              <w:rPr>
                <w:rFonts w:ascii="Arial" w:hAnsi="Arial" w:cs="Arial"/>
                <w:b/>
                <w:bCs/>
                <w:color w:val="808080" w:themeColor="background1" w:themeShade="80"/>
                <w:sz w:val="20"/>
                <w:szCs w:val="20"/>
              </w:rPr>
            </w:pPr>
            <w:r w:rsidRPr="00EC366E">
              <w:rPr>
                <w:rFonts w:ascii="Arial" w:hAnsi="Arial" w:cs="Arial"/>
                <w:b/>
                <w:bCs/>
                <w:color w:val="808080" w:themeColor="background1" w:themeShade="80"/>
                <w:sz w:val="20"/>
                <w:szCs w:val="20"/>
              </w:rPr>
              <w:t>Naziv akta:</w:t>
            </w:r>
            <w:r w:rsidR="00520915" w:rsidRPr="00EC366E">
              <w:rPr>
                <w:rFonts w:ascii="Arial" w:hAnsi="Arial" w:cs="Arial"/>
                <w:b/>
                <w:bCs/>
                <w:color w:val="808080" w:themeColor="background1" w:themeShade="80"/>
                <w:sz w:val="20"/>
                <w:szCs w:val="20"/>
              </w:rPr>
              <w:t xml:space="preserve"> </w:t>
            </w:r>
            <w:r w:rsidR="00126D35" w:rsidRPr="00EC366E">
              <w:rPr>
                <w:rFonts w:ascii="Arial" w:hAnsi="Arial" w:cs="Arial"/>
                <w:b/>
                <w:bCs/>
                <w:color w:val="808080" w:themeColor="background1" w:themeShade="80"/>
                <w:sz w:val="20"/>
                <w:szCs w:val="20"/>
              </w:rPr>
              <w:t xml:space="preserve">Prijedlog Proračuna Grada </w:t>
            </w:r>
            <w:r w:rsidR="00886545" w:rsidRPr="00EC366E">
              <w:rPr>
                <w:rFonts w:ascii="Arial" w:hAnsi="Arial" w:cs="Arial"/>
                <w:b/>
                <w:bCs/>
                <w:color w:val="808080" w:themeColor="background1" w:themeShade="80"/>
                <w:sz w:val="20"/>
                <w:szCs w:val="20"/>
              </w:rPr>
              <w:t>Ludbrega</w:t>
            </w:r>
            <w:r w:rsidR="00126D35" w:rsidRPr="00EC366E">
              <w:rPr>
                <w:rFonts w:ascii="Arial" w:hAnsi="Arial" w:cs="Arial"/>
                <w:b/>
                <w:bCs/>
                <w:color w:val="808080" w:themeColor="background1" w:themeShade="80"/>
                <w:sz w:val="20"/>
                <w:szCs w:val="20"/>
              </w:rPr>
              <w:t xml:space="preserve"> za 2025. godinu </w:t>
            </w:r>
            <w:r w:rsidR="00886545" w:rsidRPr="00EC366E">
              <w:rPr>
                <w:rFonts w:ascii="Arial" w:hAnsi="Arial" w:cs="Arial"/>
                <w:b/>
                <w:bCs/>
                <w:color w:val="808080" w:themeColor="background1" w:themeShade="80"/>
                <w:sz w:val="20"/>
                <w:szCs w:val="20"/>
              </w:rPr>
              <w:t>i</w:t>
            </w:r>
            <w:r w:rsidR="00126D35" w:rsidRPr="00EC366E">
              <w:rPr>
                <w:rFonts w:ascii="Arial" w:hAnsi="Arial" w:cs="Arial"/>
                <w:b/>
                <w:bCs/>
                <w:color w:val="808080" w:themeColor="background1" w:themeShade="80"/>
                <w:sz w:val="20"/>
                <w:szCs w:val="20"/>
              </w:rPr>
              <w:t xml:space="preserve"> projekcij</w:t>
            </w:r>
            <w:r w:rsidR="00886545" w:rsidRPr="00EC366E">
              <w:rPr>
                <w:rFonts w:ascii="Arial" w:hAnsi="Arial" w:cs="Arial"/>
                <w:b/>
                <w:bCs/>
                <w:color w:val="808080" w:themeColor="background1" w:themeShade="80"/>
                <w:sz w:val="20"/>
                <w:szCs w:val="20"/>
              </w:rPr>
              <w:t>e</w:t>
            </w:r>
            <w:r w:rsidR="00126D35" w:rsidRPr="00EC366E">
              <w:rPr>
                <w:rFonts w:ascii="Arial" w:hAnsi="Arial" w:cs="Arial"/>
                <w:b/>
                <w:bCs/>
                <w:color w:val="808080" w:themeColor="background1" w:themeShade="80"/>
                <w:sz w:val="20"/>
                <w:szCs w:val="20"/>
              </w:rPr>
              <w:t xml:space="preserve"> za 2026. i 2027. godinu</w:t>
            </w:r>
          </w:p>
        </w:tc>
      </w:tr>
      <w:tr w:rsidR="00946F1A" w:rsidRPr="00EC366E" w14:paraId="06D2B933" w14:textId="77777777" w:rsidTr="007C536F">
        <w:tc>
          <w:tcPr>
            <w:tcW w:w="15594" w:type="dxa"/>
            <w:gridSpan w:val="5"/>
            <w:tcBorders>
              <w:bottom w:val="single" w:sz="18" w:space="0" w:color="D9D9D9" w:themeColor="background1" w:themeShade="D9"/>
            </w:tcBorders>
            <w:shd w:val="pct10" w:color="auto" w:fill="auto"/>
          </w:tcPr>
          <w:p w14:paraId="3D429CEA" w14:textId="77777777" w:rsidR="00E14DF4" w:rsidRPr="00EC366E" w:rsidRDefault="00E14DF4" w:rsidP="00520915">
            <w:pPr>
              <w:rPr>
                <w:rFonts w:ascii="Arial" w:hAnsi="Arial" w:cs="Arial"/>
                <w:b/>
                <w:color w:val="808080" w:themeColor="background1" w:themeShade="80"/>
                <w:sz w:val="20"/>
                <w:szCs w:val="20"/>
              </w:rPr>
            </w:pPr>
          </w:p>
          <w:p w14:paraId="448A4054" w14:textId="7DFB0F59" w:rsidR="00E14DF4" w:rsidRPr="00EC366E" w:rsidRDefault="00946F1A" w:rsidP="00520915">
            <w:pPr>
              <w:rPr>
                <w:rFonts w:ascii="Arial" w:hAnsi="Arial" w:cs="Arial"/>
                <w:b/>
                <w:color w:val="808080" w:themeColor="background1" w:themeShade="80"/>
                <w:sz w:val="20"/>
                <w:szCs w:val="20"/>
              </w:rPr>
            </w:pPr>
            <w:r w:rsidRPr="00EC366E">
              <w:rPr>
                <w:rFonts w:ascii="Arial" w:hAnsi="Arial" w:cs="Arial"/>
                <w:b/>
                <w:color w:val="808080" w:themeColor="background1" w:themeShade="80"/>
                <w:sz w:val="20"/>
                <w:szCs w:val="20"/>
              </w:rPr>
              <w:t xml:space="preserve">Razdoblje savjetovanja: </w:t>
            </w:r>
            <w:r w:rsidR="00886545" w:rsidRPr="00EC366E">
              <w:rPr>
                <w:rFonts w:ascii="Arial" w:hAnsi="Arial" w:cs="Arial"/>
                <w:b/>
                <w:color w:val="808080" w:themeColor="background1" w:themeShade="80"/>
                <w:sz w:val="20"/>
                <w:szCs w:val="20"/>
              </w:rPr>
              <w:t>7</w:t>
            </w:r>
            <w:r w:rsidR="00126D35" w:rsidRPr="00EC366E">
              <w:rPr>
                <w:rFonts w:ascii="Arial" w:hAnsi="Arial" w:cs="Arial"/>
                <w:b/>
                <w:color w:val="808080" w:themeColor="background1" w:themeShade="80"/>
                <w:sz w:val="20"/>
                <w:szCs w:val="20"/>
              </w:rPr>
              <w:t>.1</w:t>
            </w:r>
            <w:r w:rsidR="00886545" w:rsidRPr="00EC366E">
              <w:rPr>
                <w:rFonts w:ascii="Arial" w:hAnsi="Arial" w:cs="Arial"/>
                <w:b/>
                <w:color w:val="808080" w:themeColor="background1" w:themeShade="80"/>
                <w:sz w:val="20"/>
                <w:szCs w:val="20"/>
              </w:rPr>
              <w:t>1</w:t>
            </w:r>
            <w:r w:rsidR="00126D35" w:rsidRPr="00EC366E">
              <w:rPr>
                <w:rFonts w:ascii="Arial" w:hAnsi="Arial" w:cs="Arial"/>
                <w:b/>
                <w:color w:val="808080" w:themeColor="background1" w:themeShade="80"/>
                <w:sz w:val="20"/>
                <w:szCs w:val="20"/>
              </w:rPr>
              <w:t>.2024 - 1</w:t>
            </w:r>
            <w:r w:rsidR="00886545" w:rsidRPr="00EC366E">
              <w:rPr>
                <w:rFonts w:ascii="Arial" w:hAnsi="Arial" w:cs="Arial"/>
                <w:b/>
                <w:color w:val="808080" w:themeColor="background1" w:themeShade="80"/>
                <w:sz w:val="20"/>
                <w:szCs w:val="20"/>
              </w:rPr>
              <w:t>8</w:t>
            </w:r>
            <w:r w:rsidR="00126D35" w:rsidRPr="00EC366E">
              <w:rPr>
                <w:rFonts w:ascii="Arial" w:hAnsi="Arial" w:cs="Arial"/>
                <w:b/>
                <w:color w:val="808080" w:themeColor="background1" w:themeShade="80"/>
                <w:sz w:val="20"/>
                <w:szCs w:val="20"/>
              </w:rPr>
              <w:t>.11.2024</w:t>
            </w:r>
          </w:p>
        </w:tc>
      </w:tr>
      <w:tr w:rsidR="00546335" w:rsidRPr="00EC366E" w14:paraId="41149724" w14:textId="77777777" w:rsidTr="00ED12A6">
        <w:tc>
          <w:tcPr>
            <w:tcW w:w="1288" w:type="dxa"/>
            <w:shd w:val="pct30" w:color="auto" w:fill="auto"/>
          </w:tcPr>
          <w:p w14:paraId="5D179578" w14:textId="77777777" w:rsidR="00946F1A" w:rsidRPr="00EC366E" w:rsidRDefault="00784B0B">
            <w:pPr>
              <w:rPr>
                <w:rFonts w:ascii="Arial" w:hAnsi="Arial" w:cs="Arial"/>
                <w:b/>
                <w:color w:val="808080" w:themeColor="background1" w:themeShade="80"/>
                <w:sz w:val="20"/>
                <w:szCs w:val="20"/>
              </w:rPr>
            </w:pPr>
            <w:r w:rsidRPr="00EC366E">
              <w:rPr>
                <w:rFonts w:ascii="Arial" w:hAnsi="Arial" w:cs="Arial"/>
                <w:b/>
                <w:color w:val="808080" w:themeColor="background1" w:themeShade="80"/>
                <w:sz w:val="20"/>
                <w:szCs w:val="20"/>
              </w:rPr>
              <w:t>Korisnik</w:t>
            </w:r>
          </w:p>
        </w:tc>
        <w:tc>
          <w:tcPr>
            <w:tcW w:w="6095" w:type="dxa"/>
            <w:shd w:val="pct30" w:color="auto" w:fill="auto"/>
          </w:tcPr>
          <w:p w14:paraId="6CCE026B" w14:textId="77777777" w:rsidR="00946F1A" w:rsidRPr="00EC366E" w:rsidRDefault="00784B0B">
            <w:pPr>
              <w:rPr>
                <w:rFonts w:ascii="Arial" w:hAnsi="Arial" w:cs="Arial"/>
                <w:b/>
                <w:color w:val="808080" w:themeColor="background1" w:themeShade="80"/>
                <w:sz w:val="20"/>
                <w:szCs w:val="20"/>
              </w:rPr>
            </w:pPr>
            <w:r w:rsidRPr="00EC366E">
              <w:rPr>
                <w:rFonts w:ascii="Arial" w:hAnsi="Arial" w:cs="Arial"/>
                <w:b/>
                <w:color w:val="808080" w:themeColor="background1" w:themeShade="80"/>
                <w:sz w:val="20"/>
                <w:szCs w:val="20"/>
              </w:rPr>
              <w:t>Komentar</w:t>
            </w:r>
          </w:p>
        </w:tc>
        <w:tc>
          <w:tcPr>
            <w:tcW w:w="1276" w:type="dxa"/>
            <w:shd w:val="pct30" w:color="auto" w:fill="auto"/>
          </w:tcPr>
          <w:p w14:paraId="363FBD4E" w14:textId="77777777" w:rsidR="00946F1A" w:rsidRPr="00EC366E" w:rsidRDefault="00784B0B">
            <w:pPr>
              <w:rPr>
                <w:rFonts w:ascii="Arial" w:hAnsi="Arial" w:cs="Arial"/>
                <w:b/>
                <w:color w:val="808080" w:themeColor="background1" w:themeShade="80"/>
                <w:sz w:val="20"/>
                <w:szCs w:val="20"/>
              </w:rPr>
            </w:pPr>
            <w:r w:rsidRPr="00EC366E">
              <w:rPr>
                <w:rFonts w:ascii="Arial" w:hAnsi="Arial" w:cs="Arial"/>
                <w:b/>
                <w:color w:val="808080" w:themeColor="background1" w:themeShade="80"/>
                <w:sz w:val="20"/>
                <w:szCs w:val="20"/>
              </w:rPr>
              <w:t>Datum</w:t>
            </w:r>
          </w:p>
        </w:tc>
        <w:tc>
          <w:tcPr>
            <w:tcW w:w="1417" w:type="dxa"/>
            <w:shd w:val="pct30" w:color="auto" w:fill="auto"/>
          </w:tcPr>
          <w:p w14:paraId="464E2BAF" w14:textId="77777777" w:rsidR="00946F1A" w:rsidRPr="00EC366E" w:rsidRDefault="00784B0B">
            <w:pPr>
              <w:rPr>
                <w:rFonts w:ascii="Arial" w:hAnsi="Arial" w:cs="Arial"/>
                <w:b/>
                <w:color w:val="808080" w:themeColor="background1" w:themeShade="80"/>
                <w:sz w:val="20"/>
                <w:szCs w:val="20"/>
              </w:rPr>
            </w:pPr>
            <w:r w:rsidRPr="00EC366E">
              <w:rPr>
                <w:rFonts w:ascii="Arial" w:hAnsi="Arial" w:cs="Arial"/>
                <w:b/>
                <w:color w:val="808080" w:themeColor="background1" w:themeShade="80"/>
                <w:sz w:val="20"/>
                <w:szCs w:val="20"/>
              </w:rPr>
              <w:t>Status</w:t>
            </w:r>
          </w:p>
        </w:tc>
        <w:tc>
          <w:tcPr>
            <w:tcW w:w="5518" w:type="dxa"/>
            <w:shd w:val="pct30" w:color="auto" w:fill="auto"/>
          </w:tcPr>
          <w:p w14:paraId="3FEEA3F4" w14:textId="77777777" w:rsidR="00946F1A" w:rsidRPr="00EC366E" w:rsidRDefault="00784B0B">
            <w:pPr>
              <w:rPr>
                <w:rFonts w:ascii="Arial" w:hAnsi="Arial" w:cs="Arial"/>
                <w:b/>
                <w:color w:val="808080" w:themeColor="background1" w:themeShade="80"/>
                <w:sz w:val="20"/>
                <w:szCs w:val="20"/>
              </w:rPr>
            </w:pPr>
            <w:r w:rsidRPr="00EC366E">
              <w:rPr>
                <w:rFonts w:ascii="Arial" w:hAnsi="Arial" w:cs="Arial"/>
                <w:b/>
                <w:color w:val="808080" w:themeColor="background1" w:themeShade="80"/>
                <w:sz w:val="20"/>
                <w:szCs w:val="20"/>
              </w:rPr>
              <w:t>Odgovor</w:t>
            </w:r>
          </w:p>
        </w:tc>
      </w:tr>
      <w:tr w:rsidR="00BE5D20" w:rsidRPr="00EC366E" w14:paraId="08832A1C" w14:textId="77777777" w:rsidTr="00ED12A6">
        <w:tc>
          <w:tcPr>
            <w:tcW w:w="1288" w:type="dxa"/>
            <w:shd w:val="clear" w:color="auto" w:fill="auto"/>
          </w:tcPr>
          <w:p w14:paraId="4DF70F34" w14:textId="1488F379" w:rsidR="00BE5D20" w:rsidRPr="00EC366E" w:rsidRDefault="00886545" w:rsidP="00BE5D20">
            <w:pPr>
              <w:jc w:val="both"/>
              <w:rPr>
                <w:rFonts w:ascii="Arial" w:hAnsi="Arial" w:cs="Arial"/>
              </w:rPr>
            </w:pPr>
            <w:r w:rsidRPr="00EC366E">
              <w:rPr>
                <w:rFonts w:ascii="Arial" w:hAnsi="Arial" w:cs="Arial"/>
                <w:sz w:val="20"/>
                <w:szCs w:val="20"/>
              </w:rPr>
              <w:t>Marija Schubert</w:t>
            </w:r>
          </w:p>
        </w:tc>
        <w:tc>
          <w:tcPr>
            <w:tcW w:w="6095" w:type="dxa"/>
          </w:tcPr>
          <w:p w14:paraId="1A0F108A" w14:textId="4DED366C" w:rsidR="00BE5D20" w:rsidRPr="00EC366E" w:rsidRDefault="00EC366E" w:rsidP="00BE5D20">
            <w:pPr>
              <w:jc w:val="both"/>
              <w:rPr>
                <w:rFonts w:ascii="Arial" w:hAnsi="Arial" w:cs="Arial"/>
              </w:rPr>
            </w:pPr>
            <w:r w:rsidRPr="00EC366E">
              <w:rPr>
                <w:rFonts w:ascii="Arial" w:hAnsi="Arial" w:cs="Arial"/>
              </w:rPr>
              <w:t>Kako civilno društvo grada predstavljaju udruge, predlažem da se regulira natječajem da svaka udruga za organizirani jedan javni događaj dobije minimum 1000 EUR koji su zapravo nužni za "hladni pogon" postojanja udruge odnosno računovodstvo i bankarske usluge. U istom području predlažem da se podigne maksimalni limit za udruge koje za članove imaju preko 70 djece na 10.000 EUR.</w:t>
            </w:r>
          </w:p>
        </w:tc>
        <w:tc>
          <w:tcPr>
            <w:tcW w:w="1276" w:type="dxa"/>
          </w:tcPr>
          <w:p w14:paraId="4EFA3F05" w14:textId="3810DB06" w:rsidR="00BE5D20" w:rsidRPr="00EC366E" w:rsidRDefault="00EC366E" w:rsidP="00BE5D20">
            <w:pPr>
              <w:rPr>
                <w:rFonts w:ascii="Arial" w:hAnsi="Arial" w:cs="Arial"/>
                <w:sz w:val="20"/>
                <w:szCs w:val="20"/>
              </w:rPr>
            </w:pPr>
            <w:r w:rsidRPr="00EC366E">
              <w:rPr>
                <w:rFonts w:ascii="Arial" w:hAnsi="Arial" w:cs="Arial"/>
                <w:sz w:val="20"/>
                <w:szCs w:val="20"/>
              </w:rPr>
              <w:t>15.11.2024 14:40</w:t>
            </w:r>
          </w:p>
        </w:tc>
        <w:tc>
          <w:tcPr>
            <w:tcW w:w="1417" w:type="dxa"/>
          </w:tcPr>
          <w:p w14:paraId="3B2DBAA5" w14:textId="77777777" w:rsidR="00BE5D20" w:rsidRPr="00BD6650" w:rsidRDefault="00BE5D20" w:rsidP="00BE5D20">
            <w:pPr>
              <w:rPr>
                <w:rFonts w:ascii="Arial" w:hAnsi="Arial" w:cs="Arial"/>
                <w:b/>
                <w:bCs/>
                <w:sz w:val="20"/>
                <w:szCs w:val="20"/>
              </w:rPr>
            </w:pPr>
            <w:r w:rsidRPr="00BD6650">
              <w:rPr>
                <w:rFonts w:ascii="Arial" w:hAnsi="Arial" w:cs="Arial"/>
                <w:sz w:val="20"/>
                <w:szCs w:val="20"/>
              </w:rPr>
              <w:t>-</w:t>
            </w:r>
            <w:r w:rsidRPr="00BD6650">
              <w:rPr>
                <w:rFonts w:ascii="Arial" w:hAnsi="Arial" w:cs="Arial"/>
                <w:b/>
                <w:bCs/>
                <w:sz w:val="20"/>
                <w:szCs w:val="20"/>
              </w:rPr>
              <w:t>Primljeno na znanje</w:t>
            </w:r>
          </w:p>
          <w:p w14:paraId="71508831" w14:textId="0B0BD3A9" w:rsidR="00BE5D20" w:rsidRPr="00BD6650" w:rsidRDefault="00BE5D20" w:rsidP="00BE5D20">
            <w:pPr>
              <w:rPr>
                <w:rFonts w:ascii="Arial" w:hAnsi="Arial" w:cs="Arial"/>
                <w:sz w:val="20"/>
                <w:szCs w:val="20"/>
              </w:rPr>
            </w:pPr>
          </w:p>
        </w:tc>
        <w:tc>
          <w:tcPr>
            <w:tcW w:w="5518" w:type="dxa"/>
          </w:tcPr>
          <w:p w14:paraId="59C227F1" w14:textId="7F11A552" w:rsidR="00BE5D20" w:rsidRPr="00BD6650" w:rsidRDefault="008476B0" w:rsidP="00BE5D20">
            <w:pPr>
              <w:jc w:val="both"/>
              <w:rPr>
                <w:rFonts w:ascii="Arial" w:hAnsi="Arial" w:cs="Arial"/>
                <w:sz w:val="20"/>
                <w:szCs w:val="20"/>
              </w:rPr>
            </w:pPr>
            <w:r w:rsidRPr="00BD6650">
              <w:rPr>
                <w:rFonts w:ascii="Arial" w:hAnsi="Arial" w:cs="Arial"/>
                <w:sz w:val="20"/>
                <w:szCs w:val="20"/>
              </w:rPr>
              <w:t xml:space="preserve">Proračunom Grada Ludbrega </w:t>
            </w:r>
            <w:r w:rsidRPr="00BD6650">
              <w:rPr>
                <w:rFonts w:ascii="Arial" w:hAnsi="Arial" w:cs="Arial"/>
                <w:sz w:val="20"/>
                <w:szCs w:val="20"/>
                <w:u w:val="single"/>
              </w:rPr>
              <w:t>osiguravaju se ukupna</w:t>
            </w:r>
            <w:r w:rsidRPr="00BD6650">
              <w:rPr>
                <w:rFonts w:ascii="Arial" w:hAnsi="Arial" w:cs="Arial"/>
                <w:sz w:val="20"/>
                <w:szCs w:val="20"/>
              </w:rPr>
              <w:t xml:space="preserve"> </w:t>
            </w:r>
            <w:r w:rsidRPr="00BD6650">
              <w:rPr>
                <w:rFonts w:ascii="Arial" w:hAnsi="Arial" w:cs="Arial"/>
                <w:sz w:val="20"/>
                <w:szCs w:val="20"/>
                <w:u w:val="single"/>
              </w:rPr>
              <w:t>sredstva za rad udruga civilnog društva</w:t>
            </w:r>
            <w:r w:rsidRPr="00BD6650">
              <w:rPr>
                <w:rFonts w:ascii="Arial" w:hAnsi="Arial" w:cs="Arial"/>
                <w:sz w:val="20"/>
                <w:szCs w:val="20"/>
              </w:rPr>
              <w:t>, a sredstva za rad pojedine udruge dodjeljuju se nakon prijava projekta/programa po raspisanom javnom natječaju koji se objavljuje u roku od 30 dana od dana stupanja na snagu Proračuna za iduću kalendarsku godinu. Javni natječaj objavljuje se sukladno odredbama Pravilnika o uvjetima i postupku za dodjelu financijskih potpora za programe i projekte organizacijama civilnog društva iz Proračuna Grada Ludbrega.</w:t>
            </w:r>
          </w:p>
        </w:tc>
      </w:tr>
      <w:tr w:rsidR="00BE5D20" w:rsidRPr="00EC366E" w14:paraId="52F06F19" w14:textId="77777777" w:rsidTr="00ED12A6">
        <w:tc>
          <w:tcPr>
            <w:tcW w:w="1288" w:type="dxa"/>
            <w:shd w:val="clear" w:color="auto" w:fill="auto"/>
          </w:tcPr>
          <w:p w14:paraId="31DB3A64" w14:textId="31FA6130" w:rsidR="00BE5D20" w:rsidRPr="00EC366E" w:rsidRDefault="00886545" w:rsidP="00BE5D20">
            <w:pPr>
              <w:jc w:val="both"/>
              <w:rPr>
                <w:rFonts w:ascii="Arial" w:hAnsi="Arial" w:cs="Arial"/>
              </w:rPr>
            </w:pPr>
            <w:r w:rsidRPr="00EC366E">
              <w:rPr>
                <w:rFonts w:ascii="Arial" w:hAnsi="Arial" w:cs="Arial"/>
              </w:rPr>
              <w:t>Marija Schubert</w:t>
            </w:r>
          </w:p>
        </w:tc>
        <w:tc>
          <w:tcPr>
            <w:tcW w:w="6095" w:type="dxa"/>
          </w:tcPr>
          <w:p w14:paraId="425BD7FC" w14:textId="4317B19C" w:rsidR="00BE5D20" w:rsidRPr="00EC366E" w:rsidRDefault="00EC366E" w:rsidP="00BE5D20">
            <w:pPr>
              <w:jc w:val="both"/>
              <w:rPr>
                <w:rFonts w:ascii="Arial" w:hAnsi="Arial" w:cs="Arial"/>
              </w:rPr>
            </w:pPr>
            <w:r w:rsidRPr="00EC366E">
              <w:rPr>
                <w:rFonts w:ascii="Arial" w:hAnsi="Arial" w:cs="Arial"/>
              </w:rPr>
              <w:t>Radi bolje transparentnosti trebalo bi objaviti koje su to točno predviđene javne potrebe u tehničkoj kulturi, jer takav podatak nije nigdje vidljiv iz proračuna, a niti kasnije iz izvješća.</w:t>
            </w:r>
          </w:p>
        </w:tc>
        <w:tc>
          <w:tcPr>
            <w:tcW w:w="1276" w:type="dxa"/>
          </w:tcPr>
          <w:p w14:paraId="5879A73A" w14:textId="2B175260" w:rsidR="00BE5D20" w:rsidRPr="00EC366E" w:rsidRDefault="00EC366E" w:rsidP="00BE5D20">
            <w:pPr>
              <w:rPr>
                <w:rFonts w:ascii="Arial" w:hAnsi="Arial" w:cs="Arial"/>
                <w:sz w:val="20"/>
                <w:szCs w:val="20"/>
              </w:rPr>
            </w:pPr>
            <w:r w:rsidRPr="00EC366E">
              <w:rPr>
                <w:rFonts w:ascii="Arial" w:hAnsi="Arial" w:cs="Arial"/>
                <w:sz w:val="20"/>
                <w:szCs w:val="20"/>
              </w:rPr>
              <w:t>15.11.2024 14:41</w:t>
            </w:r>
          </w:p>
        </w:tc>
        <w:tc>
          <w:tcPr>
            <w:tcW w:w="1417" w:type="dxa"/>
          </w:tcPr>
          <w:p w14:paraId="38629C9E" w14:textId="77777777" w:rsidR="00884C8A" w:rsidRPr="00BD6650" w:rsidRDefault="00884C8A" w:rsidP="00884C8A">
            <w:pPr>
              <w:rPr>
                <w:rFonts w:ascii="Arial" w:hAnsi="Arial" w:cs="Arial"/>
                <w:b/>
                <w:bCs/>
                <w:sz w:val="20"/>
                <w:szCs w:val="20"/>
              </w:rPr>
            </w:pPr>
            <w:r w:rsidRPr="00BD6650">
              <w:rPr>
                <w:rFonts w:ascii="Arial" w:hAnsi="Arial" w:cs="Arial"/>
                <w:b/>
                <w:bCs/>
                <w:sz w:val="20"/>
                <w:szCs w:val="20"/>
              </w:rPr>
              <w:t>Primljeno na znanje</w:t>
            </w:r>
          </w:p>
          <w:p w14:paraId="4E113D40" w14:textId="6300428F" w:rsidR="00BE5D20" w:rsidRPr="00BD6650" w:rsidRDefault="00BE5D20" w:rsidP="00884C8A">
            <w:pPr>
              <w:rPr>
                <w:rFonts w:ascii="Arial" w:hAnsi="Arial" w:cs="Arial"/>
                <w:sz w:val="20"/>
                <w:szCs w:val="20"/>
              </w:rPr>
            </w:pPr>
          </w:p>
        </w:tc>
        <w:tc>
          <w:tcPr>
            <w:tcW w:w="5518" w:type="dxa"/>
          </w:tcPr>
          <w:p w14:paraId="3BD31CCD" w14:textId="3E3B2EEB" w:rsidR="00B91A14" w:rsidRPr="00BD6650" w:rsidRDefault="00B91A14" w:rsidP="00BE5D20">
            <w:pPr>
              <w:jc w:val="both"/>
              <w:rPr>
                <w:rFonts w:ascii="Arial" w:hAnsi="Arial" w:cs="Arial"/>
                <w:sz w:val="20"/>
                <w:szCs w:val="20"/>
              </w:rPr>
            </w:pPr>
            <w:r w:rsidRPr="00BD6650">
              <w:rPr>
                <w:rFonts w:ascii="Arial" w:hAnsi="Arial" w:cs="Arial"/>
                <w:sz w:val="20"/>
                <w:szCs w:val="20"/>
              </w:rPr>
              <w:t>Javne potrebe u tehničkoj kulturi definirane su Programom javnih potreba u društvenim djelatnostima Grada Ludbrega, a one obuhvaćaju sufinanciranje Zajednice tehničke kulture i sufinanciranje programa i projekata iz oblasti tehničke kulture.</w:t>
            </w:r>
          </w:p>
          <w:p w14:paraId="0667B0A5" w14:textId="21A1C182" w:rsidR="00BE5D20" w:rsidRPr="00BD6650" w:rsidRDefault="008476B0" w:rsidP="00BE5D20">
            <w:pPr>
              <w:jc w:val="both"/>
              <w:rPr>
                <w:rFonts w:ascii="Arial" w:hAnsi="Arial" w:cs="Arial"/>
                <w:sz w:val="20"/>
                <w:szCs w:val="20"/>
              </w:rPr>
            </w:pPr>
            <w:r w:rsidRPr="00BD6650">
              <w:rPr>
                <w:rFonts w:ascii="Arial" w:hAnsi="Arial" w:cs="Arial"/>
                <w:sz w:val="20"/>
                <w:szCs w:val="20"/>
              </w:rPr>
              <w:t xml:space="preserve">Člankom 3. st.1. t. 5. Pravilnika o uvjetima i postupku za dodjelu financijskih potpora za programe i projekte organizacijama civilnog društva iz Proračuna Grada Ludbrega kao prioritetno područje aktivnosti projekata/programa za sufinanciranje </w:t>
            </w:r>
            <w:r w:rsidR="00B91A14" w:rsidRPr="00BD6650">
              <w:rPr>
                <w:rFonts w:ascii="Arial" w:hAnsi="Arial" w:cs="Arial"/>
                <w:sz w:val="20"/>
                <w:szCs w:val="20"/>
              </w:rPr>
              <w:t>propisano je „Poticanje i unapređenje sustava tehničke kulture</w:t>
            </w:r>
            <w:r w:rsidR="00BC2F4B" w:rsidRPr="00BD6650">
              <w:rPr>
                <w:rFonts w:ascii="Arial" w:hAnsi="Arial" w:cs="Arial"/>
                <w:sz w:val="20"/>
                <w:szCs w:val="20"/>
              </w:rPr>
              <w:t>“</w:t>
            </w:r>
            <w:r w:rsidR="004177E0" w:rsidRPr="00BD6650">
              <w:rPr>
                <w:rFonts w:ascii="Arial" w:hAnsi="Arial" w:cs="Arial"/>
                <w:sz w:val="20"/>
                <w:szCs w:val="20"/>
              </w:rPr>
              <w:t>, a svi detalji razrađuju se Javnim natječajem za dodjelu financijskih potpora za sufinanciranje projekata/programa organizacija civilnog društva.</w:t>
            </w:r>
          </w:p>
        </w:tc>
      </w:tr>
      <w:tr w:rsidR="00886545" w:rsidRPr="00EC366E" w14:paraId="79CB14C9" w14:textId="77777777" w:rsidTr="00ED12A6">
        <w:tc>
          <w:tcPr>
            <w:tcW w:w="1288" w:type="dxa"/>
            <w:shd w:val="clear" w:color="auto" w:fill="auto"/>
          </w:tcPr>
          <w:p w14:paraId="7ABD7EDA" w14:textId="20C4A0E6" w:rsidR="00886545" w:rsidRPr="00EC366E" w:rsidRDefault="00886545" w:rsidP="00BE5D20">
            <w:pPr>
              <w:jc w:val="both"/>
              <w:rPr>
                <w:rFonts w:ascii="Arial" w:hAnsi="Arial" w:cs="Arial"/>
              </w:rPr>
            </w:pPr>
            <w:r w:rsidRPr="00EC366E">
              <w:rPr>
                <w:rFonts w:ascii="Arial" w:hAnsi="Arial" w:cs="Arial"/>
              </w:rPr>
              <w:t>Marija Schubert</w:t>
            </w:r>
          </w:p>
        </w:tc>
        <w:tc>
          <w:tcPr>
            <w:tcW w:w="6095" w:type="dxa"/>
          </w:tcPr>
          <w:p w14:paraId="52B87631" w14:textId="5402A700" w:rsidR="00886545" w:rsidRPr="00EC366E" w:rsidRDefault="00EC366E" w:rsidP="00BE5D20">
            <w:pPr>
              <w:jc w:val="both"/>
              <w:rPr>
                <w:rFonts w:ascii="Arial" w:hAnsi="Arial" w:cs="Arial"/>
              </w:rPr>
            </w:pPr>
            <w:r w:rsidRPr="00EC366E">
              <w:rPr>
                <w:rFonts w:ascii="Arial" w:hAnsi="Arial" w:cs="Arial"/>
              </w:rPr>
              <w:t xml:space="preserve">Obzirom da neke udruge </w:t>
            </w:r>
            <w:proofErr w:type="spellStart"/>
            <w:r w:rsidRPr="00EC366E">
              <w:rPr>
                <w:rFonts w:ascii="Arial" w:hAnsi="Arial" w:cs="Arial"/>
              </w:rPr>
              <w:t>dobijaju</w:t>
            </w:r>
            <w:proofErr w:type="spellEnd"/>
            <w:r w:rsidRPr="00EC366E">
              <w:rPr>
                <w:rFonts w:ascii="Arial" w:hAnsi="Arial" w:cs="Arial"/>
              </w:rPr>
              <w:t xml:space="preserve"> besplatan prostor, takva potpora bi trebala radi transparentnosti biti vidljiva u dokumentaciji. Cijena najma za udruge je poznata iz Odluka i cjenika o korištenju društvenih domova i slično, te bi se prema tome trebalo pratiti i za nespecijalizirane udruge kao i za Zajednicu sportskih udruga.</w:t>
            </w:r>
          </w:p>
        </w:tc>
        <w:tc>
          <w:tcPr>
            <w:tcW w:w="1276" w:type="dxa"/>
          </w:tcPr>
          <w:p w14:paraId="099B1F87" w14:textId="05E6362D" w:rsidR="00886545" w:rsidRPr="00EC366E" w:rsidRDefault="00EC366E" w:rsidP="00BE5D20">
            <w:pPr>
              <w:rPr>
                <w:rFonts w:ascii="Arial" w:hAnsi="Arial" w:cs="Arial"/>
                <w:sz w:val="20"/>
                <w:szCs w:val="20"/>
              </w:rPr>
            </w:pPr>
            <w:r w:rsidRPr="00EC366E">
              <w:rPr>
                <w:rFonts w:ascii="Arial" w:hAnsi="Arial" w:cs="Arial"/>
                <w:sz w:val="20"/>
                <w:szCs w:val="20"/>
              </w:rPr>
              <w:t>15.11.2024 14:43</w:t>
            </w:r>
          </w:p>
        </w:tc>
        <w:tc>
          <w:tcPr>
            <w:tcW w:w="1417" w:type="dxa"/>
          </w:tcPr>
          <w:p w14:paraId="4D73439F" w14:textId="77777777" w:rsidR="00EC366E" w:rsidRPr="00BD6650" w:rsidRDefault="00EC366E" w:rsidP="00EC366E">
            <w:pPr>
              <w:rPr>
                <w:rFonts w:ascii="Arial" w:hAnsi="Arial" w:cs="Arial"/>
                <w:b/>
                <w:bCs/>
                <w:sz w:val="20"/>
                <w:szCs w:val="20"/>
              </w:rPr>
            </w:pPr>
            <w:r w:rsidRPr="00BD6650">
              <w:rPr>
                <w:rFonts w:ascii="Arial" w:hAnsi="Arial" w:cs="Arial"/>
                <w:b/>
                <w:bCs/>
                <w:sz w:val="20"/>
                <w:szCs w:val="20"/>
              </w:rPr>
              <w:t>Primljeno na znanje</w:t>
            </w:r>
          </w:p>
          <w:p w14:paraId="1F153CD6" w14:textId="77DA74CB" w:rsidR="00886545" w:rsidRPr="00BD6650" w:rsidRDefault="00886545" w:rsidP="00EC366E">
            <w:pPr>
              <w:rPr>
                <w:rFonts w:ascii="Arial" w:hAnsi="Arial" w:cs="Arial"/>
                <w:b/>
                <w:bCs/>
                <w:sz w:val="20"/>
                <w:szCs w:val="20"/>
              </w:rPr>
            </w:pPr>
          </w:p>
        </w:tc>
        <w:tc>
          <w:tcPr>
            <w:tcW w:w="5518" w:type="dxa"/>
          </w:tcPr>
          <w:p w14:paraId="0CCB9977" w14:textId="0E06652B" w:rsidR="00886545" w:rsidRPr="00BD6650" w:rsidRDefault="007B5157" w:rsidP="00BE5D20">
            <w:pPr>
              <w:jc w:val="both"/>
              <w:rPr>
                <w:rFonts w:ascii="Arial" w:hAnsi="Arial" w:cs="Arial"/>
                <w:sz w:val="20"/>
                <w:szCs w:val="20"/>
              </w:rPr>
            </w:pPr>
            <w:r w:rsidRPr="00BD6650">
              <w:rPr>
                <w:rFonts w:ascii="Arial" w:hAnsi="Arial" w:cs="Arial"/>
                <w:sz w:val="20"/>
                <w:szCs w:val="20"/>
              </w:rPr>
              <w:t>Davanje u zakup poslovnog prostora na području Grada Ludbrega uređen</w:t>
            </w:r>
            <w:r w:rsidR="003D28A0" w:rsidRPr="00BD6650">
              <w:rPr>
                <w:rFonts w:ascii="Arial" w:hAnsi="Arial" w:cs="Arial"/>
                <w:sz w:val="20"/>
                <w:szCs w:val="20"/>
              </w:rPr>
              <w:t>o</w:t>
            </w:r>
            <w:r w:rsidRPr="00BD6650">
              <w:rPr>
                <w:rFonts w:ascii="Arial" w:hAnsi="Arial" w:cs="Arial"/>
                <w:sz w:val="20"/>
                <w:szCs w:val="20"/>
              </w:rPr>
              <w:t xml:space="preserve"> je Odlukom o davanju u zakup poslovnog prostora na području Grada Ludbrega koju je donijelo Gradsko vijeće Grada Ludbrega na svojoj 15. sjednici održanoj 22. prosinca 2022. godine („Službeni vjesnik Varaždinske županije“ br. 133/22). Člankom 24. ove Odluke propisano je  na koje poslovne i druge prostore se NE primjenjuju odredbe spomenute Odluke te je između ostalog </w:t>
            </w:r>
            <w:r w:rsidRPr="00BD6650">
              <w:rPr>
                <w:rFonts w:ascii="Arial" w:hAnsi="Arial" w:cs="Arial"/>
                <w:sz w:val="20"/>
                <w:szCs w:val="20"/>
              </w:rPr>
              <w:lastRenderedPageBreak/>
              <w:t xml:space="preserve">iznimno za neprofitne organizacije čija je isključiva djelatnost obavljanje humanitarnog rada i rada od općeg društvenog interesa. </w:t>
            </w:r>
          </w:p>
        </w:tc>
      </w:tr>
      <w:tr w:rsidR="00886545" w:rsidRPr="00EC366E" w14:paraId="52436307" w14:textId="77777777" w:rsidTr="00ED12A6">
        <w:tc>
          <w:tcPr>
            <w:tcW w:w="1288" w:type="dxa"/>
            <w:shd w:val="clear" w:color="auto" w:fill="auto"/>
          </w:tcPr>
          <w:p w14:paraId="171CD41E" w14:textId="2A8AF775" w:rsidR="00886545" w:rsidRPr="00EC366E" w:rsidRDefault="00886545" w:rsidP="00BE5D20">
            <w:pPr>
              <w:jc w:val="both"/>
              <w:rPr>
                <w:rFonts w:ascii="Arial" w:hAnsi="Arial" w:cs="Arial"/>
              </w:rPr>
            </w:pPr>
            <w:r w:rsidRPr="00EC366E">
              <w:rPr>
                <w:rFonts w:ascii="Arial" w:hAnsi="Arial" w:cs="Arial"/>
              </w:rPr>
              <w:lastRenderedPageBreak/>
              <w:t>Marija Schubert</w:t>
            </w:r>
          </w:p>
        </w:tc>
        <w:tc>
          <w:tcPr>
            <w:tcW w:w="6095" w:type="dxa"/>
          </w:tcPr>
          <w:p w14:paraId="480230AE" w14:textId="179E037A" w:rsidR="00886545" w:rsidRPr="00EC366E" w:rsidRDefault="00EC366E" w:rsidP="00BE5D20">
            <w:pPr>
              <w:jc w:val="both"/>
              <w:rPr>
                <w:rFonts w:ascii="Arial" w:hAnsi="Arial" w:cs="Arial"/>
              </w:rPr>
            </w:pPr>
            <w:r w:rsidRPr="00EC366E">
              <w:rPr>
                <w:rFonts w:ascii="Arial" w:hAnsi="Arial" w:cs="Arial"/>
              </w:rPr>
              <w:t>Predlažem da se tijekom 2025. godine propiše forma izvještaja koji predaju udruge i zajednice koje se financiraju direktno iz proračuna.</w:t>
            </w:r>
          </w:p>
        </w:tc>
        <w:tc>
          <w:tcPr>
            <w:tcW w:w="1276" w:type="dxa"/>
          </w:tcPr>
          <w:p w14:paraId="17125C61" w14:textId="3318B9DB" w:rsidR="00886545" w:rsidRPr="00EC366E" w:rsidRDefault="00EC366E" w:rsidP="00BE5D20">
            <w:pPr>
              <w:rPr>
                <w:rFonts w:ascii="Arial" w:hAnsi="Arial" w:cs="Arial"/>
                <w:sz w:val="20"/>
                <w:szCs w:val="20"/>
              </w:rPr>
            </w:pPr>
            <w:r w:rsidRPr="00EC366E">
              <w:rPr>
                <w:rFonts w:ascii="Arial" w:hAnsi="Arial" w:cs="Arial"/>
                <w:sz w:val="20"/>
                <w:szCs w:val="20"/>
              </w:rPr>
              <w:t>15.11.2024 14:43</w:t>
            </w:r>
          </w:p>
        </w:tc>
        <w:tc>
          <w:tcPr>
            <w:tcW w:w="1417" w:type="dxa"/>
          </w:tcPr>
          <w:p w14:paraId="53B3FA62" w14:textId="77777777" w:rsidR="00EC366E" w:rsidRPr="00BD6650" w:rsidRDefault="00EC366E" w:rsidP="00EC366E">
            <w:pPr>
              <w:rPr>
                <w:rFonts w:ascii="Arial" w:hAnsi="Arial" w:cs="Arial"/>
                <w:b/>
                <w:bCs/>
                <w:sz w:val="20"/>
                <w:szCs w:val="20"/>
              </w:rPr>
            </w:pPr>
            <w:r w:rsidRPr="00BD6650">
              <w:rPr>
                <w:rFonts w:ascii="Arial" w:hAnsi="Arial" w:cs="Arial"/>
                <w:b/>
                <w:bCs/>
                <w:sz w:val="20"/>
                <w:szCs w:val="20"/>
              </w:rPr>
              <w:t>Primljeno na znanje</w:t>
            </w:r>
          </w:p>
          <w:p w14:paraId="366EAE8F" w14:textId="1908B841" w:rsidR="00886545" w:rsidRPr="00BD6650" w:rsidRDefault="00886545" w:rsidP="00EC366E">
            <w:pPr>
              <w:rPr>
                <w:rFonts w:ascii="Arial" w:hAnsi="Arial" w:cs="Arial"/>
                <w:b/>
                <w:bCs/>
                <w:sz w:val="20"/>
                <w:szCs w:val="20"/>
              </w:rPr>
            </w:pPr>
          </w:p>
        </w:tc>
        <w:tc>
          <w:tcPr>
            <w:tcW w:w="5518" w:type="dxa"/>
          </w:tcPr>
          <w:p w14:paraId="145332DC" w14:textId="04C22C7F" w:rsidR="00886545" w:rsidRPr="00BD6650" w:rsidRDefault="00BC2F4B" w:rsidP="00BE5D20">
            <w:pPr>
              <w:jc w:val="both"/>
              <w:rPr>
                <w:rFonts w:ascii="Arial" w:hAnsi="Arial" w:cs="Arial"/>
                <w:sz w:val="20"/>
                <w:szCs w:val="20"/>
              </w:rPr>
            </w:pPr>
            <w:r w:rsidRPr="00BD6650">
              <w:rPr>
                <w:rFonts w:ascii="Arial" w:hAnsi="Arial" w:cs="Arial"/>
                <w:sz w:val="20"/>
                <w:szCs w:val="20"/>
              </w:rPr>
              <w:t>Sve udruge i zajednice udruga financiraju se temeljem sklopljenih ugovora o sufinanciranju/financiranju pojedinih programa/projekta i ugovorom se definira praćenje provedbe odobrenih i sufinanciranih programa i/ili projekata kao i rokovi izvještavanja</w:t>
            </w:r>
            <w:r w:rsidR="004177E0" w:rsidRPr="00BD6650">
              <w:rPr>
                <w:rFonts w:ascii="Arial" w:hAnsi="Arial" w:cs="Arial"/>
                <w:sz w:val="20"/>
                <w:szCs w:val="20"/>
              </w:rPr>
              <w:t xml:space="preserve"> koji su za sve udruge istovjetni, dakle svi imaju obvezu predati izvještaj s istim podacima.</w:t>
            </w:r>
          </w:p>
          <w:p w14:paraId="4F2B7C10" w14:textId="1B2409E4" w:rsidR="00BC2F4B" w:rsidRPr="00BD6650" w:rsidRDefault="00BC2F4B" w:rsidP="00BE5D20">
            <w:pPr>
              <w:jc w:val="both"/>
              <w:rPr>
                <w:rFonts w:ascii="Arial" w:hAnsi="Arial" w:cs="Arial"/>
                <w:sz w:val="20"/>
                <w:szCs w:val="20"/>
              </w:rPr>
            </w:pPr>
          </w:p>
        </w:tc>
      </w:tr>
    </w:tbl>
    <w:p w14:paraId="2AF33AAE" w14:textId="77777777" w:rsidR="00C8226A" w:rsidRPr="00EC366E" w:rsidRDefault="00C8226A">
      <w:pPr>
        <w:rPr>
          <w:rFonts w:ascii="Arial" w:hAnsi="Arial" w:cs="Arial"/>
          <w:color w:val="808080" w:themeColor="background1" w:themeShade="80"/>
          <w:sz w:val="20"/>
          <w:szCs w:val="20"/>
        </w:rPr>
      </w:pPr>
    </w:p>
    <w:sectPr w:rsidR="00C8226A" w:rsidRPr="00EC366E" w:rsidSect="00ED21F0">
      <w:headerReference w:type="first" r:id="rId6"/>
      <w:pgSz w:w="16838" w:h="11906" w:orient="landscape"/>
      <w:pgMar w:top="951" w:right="1417" w:bottom="1417" w:left="1417" w:header="28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ADD4C" w14:textId="77777777" w:rsidR="00F95EFA" w:rsidRDefault="00F95EFA" w:rsidP="00946F1A">
      <w:pPr>
        <w:spacing w:after="0" w:line="240" w:lineRule="auto"/>
      </w:pPr>
      <w:r>
        <w:separator/>
      </w:r>
    </w:p>
  </w:endnote>
  <w:endnote w:type="continuationSeparator" w:id="0">
    <w:p w14:paraId="102552BB" w14:textId="77777777" w:rsidR="00F95EFA" w:rsidRDefault="00F95EFA" w:rsidP="00946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D3C93" w14:textId="77777777" w:rsidR="00F95EFA" w:rsidRDefault="00F95EFA" w:rsidP="00946F1A">
      <w:pPr>
        <w:spacing w:after="0" w:line="240" w:lineRule="auto"/>
      </w:pPr>
      <w:r>
        <w:separator/>
      </w:r>
    </w:p>
  </w:footnote>
  <w:footnote w:type="continuationSeparator" w:id="0">
    <w:p w14:paraId="608EC27F" w14:textId="77777777" w:rsidR="00F95EFA" w:rsidRDefault="00F95EFA" w:rsidP="00946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FE13B" w14:textId="77777777" w:rsidR="007C536F" w:rsidRDefault="0012435A">
    <w:pPr>
      <w:pStyle w:val="Zaglavlje"/>
    </w:pPr>
    <w:r>
      <w:rPr>
        <w:noProof/>
        <w:lang w:eastAsia="hr-HR"/>
      </w:rPr>
      <mc:AlternateContent>
        <mc:Choice Requires="wps">
          <w:drawing>
            <wp:anchor distT="0" distB="0" distL="114300" distR="114300" simplePos="0" relativeHeight="251658240" behindDoc="0" locked="0" layoutInCell="1" allowOverlap="1" wp14:anchorId="5D7D6E0F" wp14:editId="2FF40ACB">
              <wp:simplePos x="0" y="0"/>
              <wp:positionH relativeFrom="column">
                <wp:posOffset>542290</wp:posOffset>
              </wp:positionH>
              <wp:positionV relativeFrom="paragraph">
                <wp:posOffset>170180</wp:posOffset>
              </wp:positionV>
              <wp:extent cx="1749425" cy="441960"/>
              <wp:effectExtent l="8890" t="8255" r="13335" b="698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441960"/>
                      </a:xfrm>
                      <a:prstGeom prst="rect">
                        <a:avLst/>
                      </a:prstGeom>
                      <a:solidFill>
                        <a:srgbClr val="FFFFFF"/>
                      </a:solidFill>
                      <a:ln w="9525">
                        <a:solidFill>
                          <a:schemeClr val="bg1">
                            <a:lumMod val="100000"/>
                            <a:lumOff val="0"/>
                          </a:schemeClr>
                        </a:solidFill>
                        <a:miter lim="800000"/>
                        <a:headEnd/>
                        <a:tailEnd/>
                      </a:ln>
                    </wps:spPr>
                    <wps:txbx>
                      <w:txbxContent>
                        <w:p w14:paraId="3DFE8BE1" w14:textId="77777777" w:rsidR="007C536F" w:rsidRPr="00946F1A" w:rsidRDefault="007C536F" w:rsidP="007C536F">
                          <w:pPr>
                            <w:spacing w:after="0" w:line="240" w:lineRule="auto"/>
                            <w:rPr>
                              <w:b/>
                              <w:noProof/>
                              <w:color w:val="808080" w:themeColor="background1" w:themeShade="80"/>
                              <w:lang w:eastAsia="hr-HR"/>
                            </w:rPr>
                          </w:pPr>
                          <w:r w:rsidRPr="00946F1A">
                            <w:rPr>
                              <w:b/>
                              <w:noProof/>
                              <w:color w:val="808080" w:themeColor="background1" w:themeShade="80"/>
                              <w:lang w:eastAsia="hr-HR"/>
                            </w:rPr>
                            <w:t>REPUBLIKA HRVATSKA</w:t>
                          </w:r>
                        </w:p>
                        <w:p w14:paraId="694915F8" w14:textId="1EB4E896" w:rsidR="007C536F" w:rsidRPr="00946F1A" w:rsidRDefault="00126D35" w:rsidP="007C536F">
                          <w:pPr>
                            <w:spacing w:after="0" w:line="240" w:lineRule="auto"/>
                            <w:rPr>
                              <w:b/>
                              <w:color w:val="808080" w:themeColor="background1" w:themeShade="80"/>
                            </w:rPr>
                          </w:pPr>
                          <w:r>
                            <w:rPr>
                              <w:b/>
                              <w:noProof/>
                              <w:color w:val="808080" w:themeColor="background1" w:themeShade="80"/>
                              <w:lang w:eastAsia="hr-HR"/>
                            </w:rPr>
                            <w:t xml:space="preserve">GRAD </w:t>
                          </w:r>
                          <w:r w:rsidR="00886545">
                            <w:rPr>
                              <w:b/>
                              <w:noProof/>
                              <w:color w:val="808080" w:themeColor="background1" w:themeShade="80"/>
                              <w:lang w:eastAsia="hr-HR"/>
                            </w:rPr>
                            <w:t>LUDBREG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D7D6E0F" id="_x0000_t202" coordsize="21600,21600" o:spt="202" path="m,l,21600r21600,l21600,xe">
              <v:stroke joinstyle="miter"/>
              <v:path gradientshapeok="t" o:connecttype="rect"/>
            </v:shapetype>
            <v:shape id="Text Box 3" o:spid="_x0000_s1026" type="#_x0000_t202" style="position:absolute;margin-left:42.7pt;margin-top:13.4pt;width:137.75pt;height:34.8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" strokecolor="white [3212]">
              <v:textbox style="mso-fit-shape-to-text:t">
                <w:txbxContent>
                  <w:p w14:paraId="3DFE8BE1" w14:textId="77777777" w:rsidR="007C536F" w:rsidRPr="00946F1A" w:rsidRDefault="007C536F" w:rsidP="007C536F">
                    <w:pPr>
                      <w:spacing w:after="0" w:line="240" w:lineRule="auto"/>
                      <w:rPr>
                        <w:b/>
                        <w:noProof/>
                        <w:color w:val="808080" w:themeColor="background1" w:themeShade="80"/>
                        <w:lang w:eastAsia="hr-HR"/>
                      </w:rPr>
                    </w:pPr>
                    <w:r w:rsidRPr="00946F1A">
                      <w:rPr>
                        <w:b/>
                        <w:noProof/>
                        <w:color w:val="808080" w:themeColor="background1" w:themeShade="80"/>
                        <w:lang w:eastAsia="hr-HR"/>
                      </w:rPr>
                      <w:t>REPUBLIKA HRVATSKA</w:t>
                    </w:r>
                  </w:p>
                  <w:p w14:paraId="694915F8" w14:textId="1EB4E896" w:rsidR="007C536F" w:rsidRPr="00946F1A" w:rsidRDefault="00126D35" w:rsidP="007C536F">
                    <w:pPr>
                      <w:spacing w:after="0" w:line="240" w:lineRule="auto"/>
                      <w:rPr>
                        <w:b/>
                        <w:color w:val="808080" w:themeColor="background1" w:themeShade="80"/>
                      </w:rPr>
                    </w:pPr>
                    <w:r>
                      <w:rPr>
                        <w:b/>
                        <w:noProof/>
                        <w:color w:val="808080" w:themeColor="background1" w:themeShade="80"/>
                        <w:lang w:eastAsia="hr-HR"/>
                      </w:rPr>
                      <w:t xml:space="preserve">GRAD </w:t>
                    </w:r>
                    <w:r w:rsidR="00886545">
                      <w:rPr>
                        <w:b/>
                        <w:noProof/>
                        <w:color w:val="808080" w:themeColor="background1" w:themeShade="80"/>
                        <w:lang w:eastAsia="hr-HR"/>
                      </w:rPr>
                      <w:t>LUDBREG</w:t>
                    </w:r>
                  </w:p>
                </w:txbxContent>
              </v:textbox>
            </v:shape>
          </w:pict>
        </mc:Fallback>
      </mc:AlternateContent>
    </w:r>
    <w:r w:rsidR="00520915">
      <w:rPr>
        <w:noProof/>
        <w:lang w:eastAsia="hr-HR"/>
      </w:rPr>
      <w:drawing>
        <wp:inline distT="0" distB="0" distL="0" distR="0" wp14:anchorId="404EE351" wp14:editId="2D735E89">
          <wp:extent cx="478155" cy="638175"/>
          <wp:effectExtent l="0" t="0" r="0" b="0"/>
          <wp:docPr id="1" name="Slika 1" descr="Datoteka:Coat of arms of Croat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oteka:Coat of arms of Croatia.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155" cy="638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F1A"/>
    <w:rsid w:val="0001753A"/>
    <w:rsid w:val="000435F9"/>
    <w:rsid w:val="00064897"/>
    <w:rsid w:val="00084810"/>
    <w:rsid w:val="00095998"/>
    <w:rsid w:val="000A2AB7"/>
    <w:rsid w:val="0012435A"/>
    <w:rsid w:val="00126D35"/>
    <w:rsid w:val="00185A5D"/>
    <w:rsid w:val="001B0961"/>
    <w:rsid w:val="001B43C3"/>
    <w:rsid w:val="00212205"/>
    <w:rsid w:val="002413A8"/>
    <w:rsid w:val="00252E8A"/>
    <w:rsid w:val="00255AF3"/>
    <w:rsid w:val="00262C31"/>
    <w:rsid w:val="002B3B24"/>
    <w:rsid w:val="002B7FBD"/>
    <w:rsid w:val="002E0529"/>
    <w:rsid w:val="00320982"/>
    <w:rsid w:val="003254A1"/>
    <w:rsid w:val="003269CB"/>
    <w:rsid w:val="00396C2A"/>
    <w:rsid w:val="003A08E3"/>
    <w:rsid w:val="003A51DA"/>
    <w:rsid w:val="003B7228"/>
    <w:rsid w:val="003D28A0"/>
    <w:rsid w:val="00403897"/>
    <w:rsid w:val="00411E9E"/>
    <w:rsid w:val="004177E0"/>
    <w:rsid w:val="004B055B"/>
    <w:rsid w:val="004D4B17"/>
    <w:rsid w:val="004E7DDE"/>
    <w:rsid w:val="00520915"/>
    <w:rsid w:val="00546335"/>
    <w:rsid w:val="00577D71"/>
    <w:rsid w:val="005A0347"/>
    <w:rsid w:val="005B4DF3"/>
    <w:rsid w:val="005E5A56"/>
    <w:rsid w:val="006055CE"/>
    <w:rsid w:val="00630B97"/>
    <w:rsid w:val="006721AA"/>
    <w:rsid w:val="006858B0"/>
    <w:rsid w:val="006D2C8D"/>
    <w:rsid w:val="00704413"/>
    <w:rsid w:val="00715D2A"/>
    <w:rsid w:val="007271B4"/>
    <w:rsid w:val="00737A30"/>
    <w:rsid w:val="00744549"/>
    <w:rsid w:val="0075266B"/>
    <w:rsid w:val="0076467C"/>
    <w:rsid w:val="00784B0B"/>
    <w:rsid w:val="0078789D"/>
    <w:rsid w:val="00787CAC"/>
    <w:rsid w:val="007B5157"/>
    <w:rsid w:val="007C536F"/>
    <w:rsid w:val="007C7726"/>
    <w:rsid w:val="008031B3"/>
    <w:rsid w:val="00824A5A"/>
    <w:rsid w:val="00831899"/>
    <w:rsid w:val="0083359E"/>
    <w:rsid w:val="008476B0"/>
    <w:rsid w:val="00884C8A"/>
    <w:rsid w:val="00886545"/>
    <w:rsid w:val="00892754"/>
    <w:rsid w:val="008E6968"/>
    <w:rsid w:val="008F20F4"/>
    <w:rsid w:val="00916F52"/>
    <w:rsid w:val="00935D4B"/>
    <w:rsid w:val="00946F1A"/>
    <w:rsid w:val="00953FA2"/>
    <w:rsid w:val="009949C3"/>
    <w:rsid w:val="0099725F"/>
    <w:rsid w:val="009C341E"/>
    <w:rsid w:val="009C4CEC"/>
    <w:rsid w:val="009D6E6D"/>
    <w:rsid w:val="00A0728A"/>
    <w:rsid w:val="00A715EA"/>
    <w:rsid w:val="00A72E04"/>
    <w:rsid w:val="00A9210D"/>
    <w:rsid w:val="00AB5A8B"/>
    <w:rsid w:val="00AC19B1"/>
    <w:rsid w:val="00AE4C69"/>
    <w:rsid w:val="00B561DF"/>
    <w:rsid w:val="00B91A14"/>
    <w:rsid w:val="00BC2F4B"/>
    <w:rsid w:val="00BD6650"/>
    <w:rsid w:val="00BE4B02"/>
    <w:rsid w:val="00BE5C48"/>
    <w:rsid w:val="00BE5D20"/>
    <w:rsid w:val="00BF75F3"/>
    <w:rsid w:val="00C027F0"/>
    <w:rsid w:val="00C77039"/>
    <w:rsid w:val="00C8226A"/>
    <w:rsid w:val="00C91EF3"/>
    <w:rsid w:val="00CA427A"/>
    <w:rsid w:val="00CC0C57"/>
    <w:rsid w:val="00D252FB"/>
    <w:rsid w:val="00D46EA1"/>
    <w:rsid w:val="00D60AB9"/>
    <w:rsid w:val="00D720C5"/>
    <w:rsid w:val="00D7527E"/>
    <w:rsid w:val="00D75DF2"/>
    <w:rsid w:val="00D975D2"/>
    <w:rsid w:val="00DA5BB5"/>
    <w:rsid w:val="00DB0A0F"/>
    <w:rsid w:val="00DC2C78"/>
    <w:rsid w:val="00DC7C88"/>
    <w:rsid w:val="00DD16AB"/>
    <w:rsid w:val="00DD34EF"/>
    <w:rsid w:val="00DD5810"/>
    <w:rsid w:val="00DD5898"/>
    <w:rsid w:val="00DE23B0"/>
    <w:rsid w:val="00DE7AE3"/>
    <w:rsid w:val="00E14A32"/>
    <w:rsid w:val="00E14DF4"/>
    <w:rsid w:val="00E158E5"/>
    <w:rsid w:val="00E23220"/>
    <w:rsid w:val="00E251F0"/>
    <w:rsid w:val="00E30CAF"/>
    <w:rsid w:val="00E32626"/>
    <w:rsid w:val="00E55531"/>
    <w:rsid w:val="00E73B1D"/>
    <w:rsid w:val="00E73E66"/>
    <w:rsid w:val="00E92F05"/>
    <w:rsid w:val="00EB6C68"/>
    <w:rsid w:val="00EC366E"/>
    <w:rsid w:val="00ED12A6"/>
    <w:rsid w:val="00ED21F0"/>
    <w:rsid w:val="00ED4DA3"/>
    <w:rsid w:val="00ED7A06"/>
    <w:rsid w:val="00F07EF8"/>
    <w:rsid w:val="00F17645"/>
    <w:rsid w:val="00F255EA"/>
    <w:rsid w:val="00F95EFA"/>
    <w:rsid w:val="00F96E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2F619"/>
  <w15:docId w15:val="{CDC2F64D-6A9F-4019-809E-CF4EE1690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26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946F1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46F1A"/>
  </w:style>
  <w:style w:type="paragraph" w:styleId="Podnoje">
    <w:name w:val="footer"/>
    <w:basedOn w:val="Normal"/>
    <w:link w:val="PodnojeChar"/>
    <w:uiPriority w:val="99"/>
    <w:unhideWhenUsed/>
    <w:rsid w:val="00946F1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46F1A"/>
  </w:style>
  <w:style w:type="paragraph" w:styleId="Tekstbalonia">
    <w:name w:val="Balloon Text"/>
    <w:basedOn w:val="Normal"/>
    <w:link w:val="TekstbaloniaChar"/>
    <w:uiPriority w:val="99"/>
    <w:semiHidden/>
    <w:unhideWhenUsed/>
    <w:rsid w:val="00946F1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46F1A"/>
    <w:rPr>
      <w:rFonts w:ascii="Tahoma" w:hAnsi="Tahoma" w:cs="Tahoma"/>
      <w:sz w:val="16"/>
      <w:szCs w:val="16"/>
    </w:rPr>
  </w:style>
  <w:style w:type="table" w:styleId="Reetkatablice">
    <w:name w:val="Table Grid"/>
    <w:basedOn w:val="Obinatablica"/>
    <w:uiPriority w:val="59"/>
    <w:rsid w:val="0094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E158E5"/>
    <w:rPr>
      <w:sz w:val="16"/>
      <w:szCs w:val="16"/>
    </w:rPr>
  </w:style>
  <w:style w:type="paragraph" w:styleId="Tekstkomentara">
    <w:name w:val="annotation text"/>
    <w:basedOn w:val="Normal"/>
    <w:link w:val="TekstkomentaraChar"/>
    <w:uiPriority w:val="99"/>
    <w:semiHidden/>
    <w:unhideWhenUsed/>
    <w:rsid w:val="00E158E5"/>
    <w:pPr>
      <w:spacing w:line="240" w:lineRule="auto"/>
    </w:pPr>
    <w:rPr>
      <w:sz w:val="20"/>
      <w:szCs w:val="20"/>
    </w:rPr>
  </w:style>
  <w:style w:type="character" w:customStyle="1" w:styleId="TekstkomentaraChar">
    <w:name w:val="Tekst komentara Char"/>
    <w:basedOn w:val="Zadanifontodlomka"/>
    <w:link w:val="Tekstkomentara"/>
    <w:uiPriority w:val="99"/>
    <w:semiHidden/>
    <w:rsid w:val="00E158E5"/>
    <w:rPr>
      <w:sz w:val="20"/>
      <w:szCs w:val="20"/>
    </w:rPr>
  </w:style>
  <w:style w:type="paragraph" w:styleId="Predmetkomentara">
    <w:name w:val="annotation subject"/>
    <w:basedOn w:val="Tekstkomentara"/>
    <w:next w:val="Tekstkomentara"/>
    <w:link w:val="PredmetkomentaraChar"/>
    <w:uiPriority w:val="99"/>
    <w:semiHidden/>
    <w:unhideWhenUsed/>
    <w:rsid w:val="00E158E5"/>
    <w:rPr>
      <w:b/>
      <w:bCs/>
    </w:rPr>
  </w:style>
  <w:style w:type="character" w:customStyle="1" w:styleId="PredmetkomentaraChar">
    <w:name w:val="Predmet komentara Char"/>
    <w:basedOn w:val="TekstkomentaraChar"/>
    <w:link w:val="Predmetkomentara"/>
    <w:uiPriority w:val="99"/>
    <w:semiHidden/>
    <w:rsid w:val="00E158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8083">
      <w:bodyDiv w:val="1"/>
      <w:marLeft w:val="0"/>
      <w:marRight w:val="0"/>
      <w:marTop w:val="0"/>
      <w:marBottom w:val="0"/>
      <w:divBdr>
        <w:top w:val="none" w:sz="0" w:space="0" w:color="auto"/>
        <w:left w:val="none" w:sz="0" w:space="0" w:color="auto"/>
        <w:bottom w:val="none" w:sz="0" w:space="0" w:color="auto"/>
        <w:right w:val="none" w:sz="0" w:space="0" w:color="auto"/>
      </w:divBdr>
    </w:div>
    <w:div w:id="391973230">
      <w:bodyDiv w:val="1"/>
      <w:marLeft w:val="0"/>
      <w:marRight w:val="0"/>
      <w:marTop w:val="0"/>
      <w:marBottom w:val="0"/>
      <w:divBdr>
        <w:top w:val="none" w:sz="0" w:space="0" w:color="auto"/>
        <w:left w:val="none" w:sz="0" w:space="0" w:color="auto"/>
        <w:bottom w:val="none" w:sz="0" w:space="0" w:color="auto"/>
        <w:right w:val="none" w:sz="0" w:space="0" w:color="auto"/>
      </w:divBdr>
    </w:div>
    <w:div w:id="901598413">
      <w:bodyDiv w:val="1"/>
      <w:marLeft w:val="0"/>
      <w:marRight w:val="0"/>
      <w:marTop w:val="0"/>
      <w:marBottom w:val="0"/>
      <w:divBdr>
        <w:top w:val="none" w:sz="0" w:space="0" w:color="auto"/>
        <w:left w:val="none" w:sz="0" w:space="0" w:color="auto"/>
        <w:bottom w:val="none" w:sz="0" w:space="0" w:color="auto"/>
        <w:right w:val="none" w:sz="0" w:space="0" w:color="auto"/>
      </w:divBdr>
      <w:divsChild>
        <w:div w:id="1219822499">
          <w:marLeft w:val="0"/>
          <w:marRight w:val="0"/>
          <w:marTop w:val="0"/>
          <w:marBottom w:val="0"/>
          <w:divBdr>
            <w:top w:val="none" w:sz="0" w:space="0" w:color="auto"/>
            <w:left w:val="none" w:sz="0" w:space="0" w:color="auto"/>
            <w:bottom w:val="none" w:sz="0" w:space="0" w:color="auto"/>
            <w:right w:val="none" w:sz="0" w:space="0" w:color="auto"/>
          </w:divBdr>
        </w:div>
        <w:div w:id="434248738">
          <w:marLeft w:val="0"/>
          <w:marRight w:val="0"/>
          <w:marTop w:val="0"/>
          <w:marBottom w:val="0"/>
          <w:divBdr>
            <w:top w:val="none" w:sz="0" w:space="0" w:color="auto"/>
            <w:left w:val="none" w:sz="0" w:space="0" w:color="auto"/>
            <w:bottom w:val="none" w:sz="0" w:space="0" w:color="auto"/>
            <w:right w:val="none" w:sz="0" w:space="0" w:color="auto"/>
          </w:divBdr>
        </w:div>
        <w:div w:id="1298341189">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28714534">
          <w:marLeft w:val="0"/>
          <w:marRight w:val="0"/>
          <w:marTop w:val="0"/>
          <w:marBottom w:val="0"/>
          <w:divBdr>
            <w:top w:val="none" w:sz="0" w:space="0" w:color="auto"/>
            <w:left w:val="none" w:sz="0" w:space="0" w:color="auto"/>
            <w:bottom w:val="none" w:sz="0" w:space="0" w:color="auto"/>
            <w:right w:val="none" w:sz="0" w:space="0" w:color="auto"/>
          </w:divBdr>
        </w:div>
        <w:div w:id="1203514008">
          <w:marLeft w:val="0"/>
          <w:marRight w:val="0"/>
          <w:marTop w:val="0"/>
          <w:marBottom w:val="0"/>
          <w:divBdr>
            <w:top w:val="none" w:sz="0" w:space="0" w:color="auto"/>
            <w:left w:val="none" w:sz="0" w:space="0" w:color="auto"/>
            <w:bottom w:val="none" w:sz="0" w:space="0" w:color="auto"/>
            <w:right w:val="none" w:sz="0" w:space="0" w:color="auto"/>
          </w:divBdr>
        </w:div>
        <w:div w:id="498889477">
          <w:marLeft w:val="0"/>
          <w:marRight w:val="0"/>
          <w:marTop w:val="0"/>
          <w:marBottom w:val="0"/>
          <w:divBdr>
            <w:top w:val="none" w:sz="0" w:space="0" w:color="auto"/>
            <w:left w:val="none" w:sz="0" w:space="0" w:color="auto"/>
            <w:bottom w:val="none" w:sz="0" w:space="0" w:color="auto"/>
            <w:right w:val="none" w:sz="0" w:space="0" w:color="auto"/>
          </w:divBdr>
        </w:div>
      </w:divsChild>
    </w:div>
    <w:div w:id="939066292">
      <w:bodyDiv w:val="1"/>
      <w:marLeft w:val="0"/>
      <w:marRight w:val="0"/>
      <w:marTop w:val="0"/>
      <w:marBottom w:val="0"/>
      <w:divBdr>
        <w:top w:val="none" w:sz="0" w:space="0" w:color="auto"/>
        <w:left w:val="none" w:sz="0" w:space="0" w:color="auto"/>
        <w:bottom w:val="none" w:sz="0" w:space="0" w:color="auto"/>
        <w:right w:val="none" w:sz="0" w:space="0" w:color="auto"/>
      </w:divBdr>
    </w:div>
    <w:div w:id="1043022540">
      <w:bodyDiv w:val="1"/>
      <w:marLeft w:val="0"/>
      <w:marRight w:val="0"/>
      <w:marTop w:val="0"/>
      <w:marBottom w:val="0"/>
      <w:divBdr>
        <w:top w:val="none" w:sz="0" w:space="0" w:color="auto"/>
        <w:left w:val="none" w:sz="0" w:space="0" w:color="auto"/>
        <w:bottom w:val="none" w:sz="0" w:space="0" w:color="auto"/>
        <w:right w:val="none" w:sz="0" w:space="0" w:color="auto"/>
      </w:divBdr>
    </w:div>
    <w:div w:id="1100684741">
      <w:bodyDiv w:val="1"/>
      <w:marLeft w:val="0"/>
      <w:marRight w:val="0"/>
      <w:marTop w:val="0"/>
      <w:marBottom w:val="0"/>
      <w:divBdr>
        <w:top w:val="none" w:sz="0" w:space="0" w:color="auto"/>
        <w:left w:val="none" w:sz="0" w:space="0" w:color="auto"/>
        <w:bottom w:val="none" w:sz="0" w:space="0" w:color="auto"/>
        <w:right w:val="none" w:sz="0" w:space="0" w:color="auto"/>
      </w:divBdr>
    </w:div>
    <w:div w:id="1100763787">
      <w:bodyDiv w:val="1"/>
      <w:marLeft w:val="0"/>
      <w:marRight w:val="0"/>
      <w:marTop w:val="0"/>
      <w:marBottom w:val="0"/>
      <w:divBdr>
        <w:top w:val="none" w:sz="0" w:space="0" w:color="auto"/>
        <w:left w:val="none" w:sz="0" w:space="0" w:color="auto"/>
        <w:bottom w:val="none" w:sz="0" w:space="0" w:color="auto"/>
        <w:right w:val="none" w:sz="0" w:space="0" w:color="auto"/>
      </w:divBdr>
    </w:div>
    <w:div w:id="1128864339">
      <w:bodyDiv w:val="1"/>
      <w:marLeft w:val="0"/>
      <w:marRight w:val="0"/>
      <w:marTop w:val="0"/>
      <w:marBottom w:val="0"/>
      <w:divBdr>
        <w:top w:val="none" w:sz="0" w:space="0" w:color="auto"/>
        <w:left w:val="none" w:sz="0" w:space="0" w:color="auto"/>
        <w:bottom w:val="none" w:sz="0" w:space="0" w:color="auto"/>
        <w:right w:val="none" w:sz="0" w:space="0" w:color="auto"/>
      </w:divBdr>
    </w:div>
    <w:div w:id="1582376344">
      <w:bodyDiv w:val="1"/>
      <w:marLeft w:val="0"/>
      <w:marRight w:val="0"/>
      <w:marTop w:val="0"/>
      <w:marBottom w:val="0"/>
      <w:divBdr>
        <w:top w:val="none" w:sz="0" w:space="0" w:color="auto"/>
        <w:left w:val="none" w:sz="0" w:space="0" w:color="auto"/>
        <w:bottom w:val="none" w:sz="0" w:space="0" w:color="auto"/>
        <w:right w:val="none" w:sz="0" w:space="0" w:color="auto"/>
      </w:divBdr>
    </w:div>
    <w:div w:id="1691684372">
      <w:bodyDiv w:val="1"/>
      <w:marLeft w:val="0"/>
      <w:marRight w:val="0"/>
      <w:marTop w:val="0"/>
      <w:marBottom w:val="0"/>
      <w:divBdr>
        <w:top w:val="none" w:sz="0" w:space="0" w:color="auto"/>
        <w:left w:val="none" w:sz="0" w:space="0" w:color="auto"/>
        <w:bottom w:val="none" w:sz="0" w:space="0" w:color="auto"/>
        <w:right w:val="none" w:sz="0" w:space="0" w:color="auto"/>
      </w:divBdr>
    </w:div>
    <w:div w:id="1710959068">
      <w:bodyDiv w:val="1"/>
      <w:marLeft w:val="0"/>
      <w:marRight w:val="0"/>
      <w:marTop w:val="0"/>
      <w:marBottom w:val="0"/>
      <w:divBdr>
        <w:top w:val="none" w:sz="0" w:space="0" w:color="auto"/>
        <w:left w:val="none" w:sz="0" w:space="0" w:color="auto"/>
        <w:bottom w:val="none" w:sz="0" w:space="0" w:color="auto"/>
        <w:right w:val="none" w:sz="0" w:space="0" w:color="auto"/>
      </w:divBdr>
    </w:div>
    <w:div w:id="1836651342">
      <w:bodyDiv w:val="1"/>
      <w:marLeft w:val="0"/>
      <w:marRight w:val="0"/>
      <w:marTop w:val="0"/>
      <w:marBottom w:val="0"/>
      <w:divBdr>
        <w:top w:val="none" w:sz="0" w:space="0" w:color="auto"/>
        <w:left w:val="none" w:sz="0" w:space="0" w:color="auto"/>
        <w:bottom w:val="none" w:sz="0" w:space="0" w:color="auto"/>
        <w:right w:val="none" w:sz="0" w:space="0" w:color="auto"/>
      </w:divBdr>
    </w:div>
    <w:div w:id="1976255610">
      <w:bodyDiv w:val="1"/>
      <w:marLeft w:val="0"/>
      <w:marRight w:val="0"/>
      <w:marTop w:val="0"/>
      <w:marBottom w:val="0"/>
      <w:divBdr>
        <w:top w:val="none" w:sz="0" w:space="0" w:color="auto"/>
        <w:left w:val="none" w:sz="0" w:space="0" w:color="auto"/>
        <w:bottom w:val="none" w:sz="0" w:space="0" w:color="auto"/>
        <w:right w:val="none" w:sz="0" w:space="0" w:color="auto"/>
      </w:divBdr>
    </w:div>
    <w:div w:id="207003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3031</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dc:creator>
  <cp:lastModifiedBy>Tajnica</cp:lastModifiedBy>
  <cp:revision>2</cp:revision>
  <cp:lastPrinted>2016-08-16T05:06:00Z</cp:lastPrinted>
  <dcterms:created xsi:type="dcterms:W3CDTF">2024-11-19T12:07:00Z</dcterms:created>
  <dcterms:modified xsi:type="dcterms:W3CDTF">2024-11-19T12:07:00Z</dcterms:modified>
</cp:coreProperties>
</file>